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28" w:rsidRDefault="00DB256B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Membership Rates </w:t>
      </w:r>
    </w:p>
    <w:p w:rsidR="00033428" w:rsidRDefault="00DB256B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Get locked in now with our current pricing and be grandfathered in going forward!</w:t>
      </w:r>
    </w:p>
    <w:p w:rsidR="00033428" w:rsidRDefault="00033428">
      <w:pPr>
        <w:rPr>
          <w:sz w:val="15"/>
          <w:szCs w:val="15"/>
        </w:rPr>
      </w:pPr>
    </w:p>
    <w:tbl>
      <w:tblPr>
        <w:tblStyle w:val="a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5"/>
        <w:gridCol w:w="1350"/>
        <w:gridCol w:w="1170"/>
      </w:tblGrid>
      <w:tr w:rsidR="00033428">
        <w:trPr>
          <w:trHeight w:val="500"/>
        </w:trPr>
        <w:tc>
          <w:tcPr>
            <w:tcW w:w="6565" w:type="dxa"/>
            <w:vAlign w:val="center"/>
          </w:tcPr>
          <w:p w:rsidR="00033428" w:rsidRDefault="00DB25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Membership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Current</w:t>
            </w:r>
          </w:p>
          <w:p w:rsidR="00033428" w:rsidRDefault="00DB2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Rates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May 1</w:t>
            </w:r>
          </w:p>
        </w:tc>
      </w:tr>
      <w:tr w:rsidR="00033428">
        <w:trPr>
          <w:trHeight w:val="12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$700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$975</w:t>
            </w:r>
          </w:p>
        </w:tc>
      </w:tr>
      <w:tr w:rsidR="00033428">
        <w:trPr>
          <w:trHeight w:val="26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$725</w:t>
            </w:r>
          </w:p>
        </w:tc>
      </w:tr>
      <w:tr w:rsidR="00033428">
        <w:trPr>
          <w:trHeight w:val="16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Couples 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$900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$1400</w:t>
            </w:r>
          </w:p>
        </w:tc>
      </w:tr>
      <w:tr w:rsidR="00033428">
        <w:trPr>
          <w:trHeight w:val="16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– Includes 2 adults, one child under 18.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$950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$1450</w:t>
            </w:r>
          </w:p>
        </w:tc>
      </w:tr>
      <w:tr w:rsidR="00033428">
        <w:trPr>
          <w:trHeight w:val="16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Each additional kid 12-17, under are 12 free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</w:tr>
      <w:tr w:rsidR="00033428">
        <w:trPr>
          <w:trHeight w:val="16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(over 62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and up)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$625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$875</w:t>
            </w:r>
          </w:p>
        </w:tc>
      </w:tr>
      <w:tr w:rsidR="00033428">
        <w:trPr>
          <w:trHeight w:val="16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Ladies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$700</w:t>
            </w:r>
          </w:p>
        </w:tc>
      </w:tr>
      <w:tr w:rsidR="00033428">
        <w:trPr>
          <w:trHeight w:val="8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Couples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$1250</w:t>
            </w:r>
          </w:p>
        </w:tc>
      </w:tr>
      <w:tr w:rsidR="00033428">
        <w:trPr>
          <w:trHeight w:val="8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Adult (18-26)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$700</w:t>
            </w:r>
          </w:p>
        </w:tc>
      </w:tr>
      <w:tr w:rsidR="00033428">
        <w:trPr>
          <w:trHeight w:val="8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(ages 17 and under)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</w:tr>
      <w:tr w:rsidR="00033428">
        <w:trPr>
          <w:trHeight w:val="8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Membership (weekdays only, good only for one course)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$295</w:t>
            </w:r>
          </w:p>
        </w:tc>
        <w:tc>
          <w:tcPr>
            <w:tcW w:w="1170" w:type="dxa"/>
          </w:tcPr>
          <w:p w:rsidR="00033428" w:rsidRDefault="005A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$295</w:t>
            </w:r>
          </w:p>
        </w:tc>
      </w:tr>
      <w:tr w:rsidR="00033428">
        <w:trPr>
          <w:trHeight w:val="200"/>
        </w:trPr>
        <w:tc>
          <w:tcPr>
            <w:tcW w:w="6565" w:type="dxa"/>
            <w:vAlign w:val="center"/>
          </w:tcPr>
          <w:p w:rsidR="00033428" w:rsidRDefault="00DB2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Military and Active Duty Police Officers </w:t>
            </w:r>
          </w:p>
        </w:tc>
        <w:tc>
          <w:tcPr>
            <w:tcW w:w="1350" w:type="dxa"/>
            <w:vAlign w:val="center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$625</w:t>
            </w:r>
          </w:p>
        </w:tc>
        <w:tc>
          <w:tcPr>
            <w:tcW w:w="1170" w:type="dxa"/>
          </w:tcPr>
          <w:p w:rsidR="00033428" w:rsidRDefault="00DB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$875</w:t>
            </w:r>
          </w:p>
        </w:tc>
      </w:tr>
    </w:tbl>
    <w:p w:rsidR="00033428" w:rsidRDefault="00DB256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Hurry and SAVE!  Get locked in for years to come!</w:t>
      </w:r>
    </w:p>
    <w:p w:rsidR="00033428" w:rsidRDefault="00033428">
      <w:pPr>
        <w:jc w:val="center"/>
      </w:pPr>
    </w:p>
    <w:p w:rsidR="00033428" w:rsidRDefault="00DB25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Membership Loyalty Program</w:t>
      </w:r>
    </w:p>
    <w:p w:rsidR="00033428" w:rsidRDefault="00033428">
      <w:pPr>
        <w:jc w:val="center"/>
      </w:pPr>
    </w:p>
    <w:p w:rsidR="00033428" w:rsidRDefault="00DB256B">
      <w:pPr>
        <w:rPr>
          <w:sz w:val="24"/>
          <w:szCs w:val="24"/>
        </w:rPr>
      </w:pPr>
      <w:r>
        <w:rPr>
          <w:sz w:val="24"/>
          <w:szCs w:val="24"/>
        </w:rPr>
        <w:t>- All members that are paid by 5/1/19 are locked in at current pricing and become part of the loyalty program w</w:t>
      </w:r>
      <w:bookmarkStart w:id="1" w:name="_GoBack"/>
      <w:bookmarkEnd w:id="1"/>
      <w:r>
        <w:rPr>
          <w:sz w:val="24"/>
          <w:szCs w:val="24"/>
        </w:rPr>
        <w:t>ith pricing lasting for the life of your membership!</w:t>
      </w:r>
    </w:p>
    <w:p w:rsidR="00033428" w:rsidRDefault="00DB256B">
      <w:pPr>
        <w:rPr>
          <w:sz w:val="24"/>
          <w:szCs w:val="24"/>
        </w:rPr>
      </w:pPr>
      <w:r>
        <w:rPr>
          <w:sz w:val="24"/>
          <w:szCs w:val="24"/>
        </w:rPr>
        <w:t>- Member Ince</w:t>
      </w:r>
      <w:r>
        <w:rPr>
          <w:sz w:val="24"/>
          <w:szCs w:val="24"/>
        </w:rPr>
        <w:t>ntives to come in 2020  - Guests Passes &amp; Cart Passes!</w:t>
      </w:r>
    </w:p>
    <w:p w:rsidR="00033428" w:rsidRDefault="00DB256B">
      <w:r>
        <w:rPr>
          <w:sz w:val="24"/>
          <w:szCs w:val="24"/>
        </w:rPr>
        <w:t>-</w:t>
      </w:r>
      <w:r w:rsidR="005A05B7">
        <w:rPr>
          <w:sz w:val="24"/>
          <w:szCs w:val="24"/>
        </w:rPr>
        <w:t xml:space="preserve"> </w:t>
      </w:r>
      <w:r>
        <w:rPr>
          <w:sz w:val="24"/>
          <w:szCs w:val="24"/>
        </w:rPr>
        <w:t>Discounted golf lessons &amp; merchandise</w:t>
      </w:r>
    </w:p>
    <w:p w:rsidR="00033428" w:rsidRDefault="00DB256B">
      <w:r>
        <w:rPr>
          <w:sz w:val="24"/>
          <w:szCs w:val="24"/>
        </w:rPr>
        <w:t>-</w:t>
      </w:r>
      <w:r w:rsidR="005A0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Membership pricing, when increasing periodically will </w:t>
      </w:r>
      <w:r w:rsidR="005A05B7">
        <w:rPr>
          <w:sz w:val="24"/>
          <w:szCs w:val="24"/>
        </w:rPr>
        <w:t xml:space="preserve">only </w:t>
      </w:r>
      <w:r>
        <w:rPr>
          <w:sz w:val="24"/>
          <w:szCs w:val="24"/>
        </w:rPr>
        <w:t>increase from the price that you originally purchased</w:t>
      </w:r>
      <w:r w:rsidR="005A05B7">
        <w:rPr>
          <w:sz w:val="24"/>
          <w:szCs w:val="24"/>
        </w:rPr>
        <w:t>, It will always be approximately the same difference as there currently is between the current and new rates!!</w:t>
      </w:r>
      <w:r>
        <w:rPr>
          <w:sz w:val="24"/>
          <w:szCs w:val="24"/>
        </w:rPr>
        <w:t xml:space="preserve"> </w:t>
      </w:r>
      <w:r>
        <w:rPr>
          <w:i/>
        </w:rPr>
        <w:t>(memberships will gradually increase</w:t>
      </w:r>
      <w:r w:rsidR="005A05B7">
        <w:rPr>
          <w:i/>
        </w:rPr>
        <w:t xml:space="preserve"> </w:t>
      </w:r>
      <w:r>
        <w:rPr>
          <w:i/>
        </w:rPr>
        <w:t xml:space="preserve"> for reasons like</w:t>
      </w:r>
      <w:r>
        <w:rPr>
          <w:i/>
        </w:rPr>
        <w:t xml:space="preserve"> course improvements,  labor rates, inflation, etc.)</w:t>
      </w:r>
    </w:p>
    <w:p w:rsidR="005A05B7" w:rsidRDefault="005A05B7">
      <w:pPr>
        <w:jc w:val="center"/>
        <w:rPr>
          <w:b/>
          <w:sz w:val="36"/>
          <w:szCs w:val="36"/>
          <w:u w:val="single"/>
        </w:rPr>
      </w:pPr>
    </w:p>
    <w:p w:rsidR="00033428" w:rsidRDefault="00DB25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for 2019</w:t>
      </w:r>
    </w:p>
    <w:p w:rsidR="00033428" w:rsidRDefault="00DB256B">
      <w:pPr>
        <w:rPr>
          <w:sz w:val="24"/>
          <w:szCs w:val="24"/>
        </w:rPr>
      </w:pPr>
      <w:r>
        <w:rPr>
          <w:sz w:val="24"/>
          <w:szCs w:val="24"/>
        </w:rPr>
        <w:t xml:space="preserve">- 4 courses for one great price </w:t>
      </w:r>
    </w:p>
    <w:p w:rsidR="00033428" w:rsidRDefault="00DB256B">
      <w:pPr>
        <w:rPr>
          <w:sz w:val="24"/>
          <w:szCs w:val="24"/>
        </w:rPr>
      </w:pPr>
      <w:r>
        <w:rPr>
          <w:sz w:val="24"/>
          <w:szCs w:val="24"/>
        </w:rPr>
        <w:t>- Our new Class A PGA Director of Golf, Bob VanAuken</w:t>
      </w:r>
    </w:p>
    <w:p w:rsidR="00033428" w:rsidRDefault="00DB256B">
      <w:r>
        <w:rPr>
          <w:sz w:val="24"/>
          <w:szCs w:val="24"/>
        </w:rPr>
        <w:t>- More exclusive member events</w:t>
      </w:r>
    </w:p>
    <w:p w:rsidR="00033428" w:rsidRPr="005A05B7" w:rsidRDefault="00DB256B">
      <w:pPr>
        <w:rPr>
          <w:sz w:val="24"/>
          <w:szCs w:val="24"/>
        </w:rPr>
      </w:pPr>
      <w:r w:rsidRPr="005A05B7">
        <w:rPr>
          <w:sz w:val="24"/>
          <w:szCs w:val="24"/>
        </w:rPr>
        <w:t>- More lessons and Golf Programs</w:t>
      </w:r>
    </w:p>
    <w:p w:rsidR="00033428" w:rsidRDefault="00DB256B">
      <w:pPr>
        <w:rPr>
          <w:sz w:val="24"/>
          <w:szCs w:val="24"/>
        </w:rPr>
      </w:pPr>
      <w:r>
        <w:rPr>
          <w:sz w:val="24"/>
          <w:szCs w:val="24"/>
        </w:rPr>
        <w:t>- Many new course enhancements and as al</w:t>
      </w:r>
      <w:r>
        <w:rPr>
          <w:sz w:val="24"/>
          <w:szCs w:val="24"/>
        </w:rPr>
        <w:t>ways, focusing on course conditions is a priority!</w:t>
      </w:r>
    </w:p>
    <w:p w:rsidR="00033428" w:rsidRDefault="00033428">
      <w:pPr>
        <w:rPr>
          <w:sz w:val="24"/>
          <w:szCs w:val="24"/>
        </w:rPr>
      </w:pPr>
    </w:p>
    <w:p w:rsidR="00033428" w:rsidRDefault="00033428">
      <w:pPr>
        <w:rPr>
          <w:sz w:val="48"/>
          <w:szCs w:val="48"/>
        </w:rPr>
      </w:pPr>
    </w:p>
    <w:p w:rsidR="00033428" w:rsidRDefault="00033428">
      <w:pPr>
        <w:rPr>
          <w:sz w:val="24"/>
          <w:szCs w:val="24"/>
        </w:rPr>
      </w:pPr>
    </w:p>
    <w:sectPr w:rsidR="00033428">
      <w:headerReference w:type="default" r:id="rId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56B" w:rsidRDefault="00DB256B">
      <w:r>
        <w:separator/>
      </w:r>
    </w:p>
  </w:endnote>
  <w:endnote w:type="continuationSeparator" w:id="0">
    <w:p w:rsidR="00DB256B" w:rsidRDefault="00D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56B" w:rsidRDefault="00DB256B">
      <w:r>
        <w:separator/>
      </w:r>
    </w:p>
  </w:footnote>
  <w:footnote w:type="continuationSeparator" w:id="0">
    <w:p w:rsidR="00DB256B" w:rsidRDefault="00DB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428" w:rsidRDefault="00DB256B">
    <w:pPr>
      <w:pBdr>
        <w:top w:val="nil"/>
        <w:left w:val="nil"/>
        <w:bottom w:val="nil"/>
        <w:right w:val="nil"/>
        <w:between w:val="nil"/>
      </w:pBdr>
      <w:tabs>
        <w:tab w:val="right" w:pos="5760"/>
      </w:tabs>
      <w:spacing w:after="120"/>
      <w:ind w:left="-450"/>
      <w:rPr>
        <w:color w:val="000000"/>
        <w:sz w:val="24"/>
        <w:szCs w:val="24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4290599" cy="6807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0599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4"/>
        <w:szCs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-177799</wp:posOffset>
              </wp:positionV>
              <wp:extent cx="1954237" cy="8731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3644" y="3348200"/>
                        <a:ext cx="1944712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3428" w:rsidRDefault="00DB256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Tanner Valley Golf Course</w:t>
                          </w:r>
                        </w:p>
                        <w:p w:rsidR="00033428" w:rsidRDefault="00DB256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Orchard Vali Golf Club</w:t>
                          </w:r>
                        </w:p>
                        <w:p w:rsidR="00033428" w:rsidRDefault="00DB256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Caughdenoy Links Golf Course</w:t>
                          </w:r>
                        </w:p>
                        <w:p w:rsidR="00033428" w:rsidRDefault="00DB256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Apple Creek Golf Course</w:t>
                          </w:r>
                        </w:p>
                        <w:p w:rsidR="00033428" w:rsidRDefault="00DB256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www.RJGrahamGolf.com </w:t>
                          </w:r>
                        </w:p>
                        <w:p w:rsidR="00033428" w:rsidRDefault="00033428">
                          <w:pPr>
                            <w:textDirection w:val="btLr"/>
                          </w:pPr>
                        </w:p>
                        <w:p w:rsidR="00033428" w:rsidRDefault="000334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324pt;margin-top:-14pt;width:153.9pt;height:6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" filled="f" stroked="f">
              <v:textbox inset="2.53958mm,1.2694mm,2.53958mm,1.2694mm">
                <w:txbxContent>
                  <w:p w:rsidR="00033428" w:rsidRDefault="00DB256B">
                    <w:pPr>
                      <w:textDirection w:val="btLr"/>
                    </w:pPr>
                    <w:r>
                      <w:rPr>
                        <w:color w:val="000000"/>
                      </w:rPr>
                      <w:t>Tanner Valley Golf Course</w:t>
                    </w:r>
                  </w:p>
                  <w:p w:rsidR="00033428" w:rsidRDefault="00DB256B">
                    <w:pPr>
                      <w:textDirection w:val="btLr"/>
                    </w:pPr>
                    <w:r>
                      <w:rPr>
                        <w:color w:val="000000"/>
                      </w:rPr>
                      <w:t>Orchard Vali Golf Club</w:t>
                    </w:r>
                  </w:p>
                  <w:p w:rsidR="00033428" w:rsidRDefault="00DB256B">
                    <w:pPr>
                      <w:textDirection w:val="btLr"/>
                    </w:pPr>
                    <w:r>
                      <w:rPr>
                        <w:color w:val="000000"/>
                      </w:rPr>
                      <w:t>Caughdenoy Links Golf Course</w:t>
                    </w:r>
                  </w:p>
                  <w:p w:rsidR="00033428" w:rsidRDefault="00DB256B">
                    <w:pPr>
                      <w:textDirection w:val="btLr"/>
                    </w:pPr>
                    <w:r>
                      <w:rPr>
                        <w:color w:val="000000"/>
                      </w:rPr>
                      <w:t>Apple Creek Golf Course</w:t>
                    </w:r>
                  </w:p>
                  <w:p w:rsidR="00033428" w:rsidRDefault="00DB256B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www.RJGrahamGolf.com </w:t>
                    </w:r>
                  </w:p>
                  <w:p w:rsidR="00033428" w:rsidRDefault="00033428">
                    <w:pPr>
                      <w:textDirection w:val="btLr"/>
                    </w:pPr>
                  </w:p>
                  <w:p w:rsidR="00033428" w:rsidRDefault="0003342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28"/>
    <w:rsid w:val="00033428"/>
    <w:rsid w:val="00036428"/>
    <w:rsid w:val="005A05B7"/>
    <w:rsid w:val="00D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747A9"/>
  <w15:docId w15:val="{93B2A70D-A66E-E24C-BF66-4BD3E31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RJ Graham</cp:lastModifiedBy>
  <cp:revision>2</cp:revision>
  <dcterms:created xsi:type="dcterms:W3CDTF">2019-02-26T20:48:00Z</dcterms:created>
  <dcterms:modified xsi:type="dcterms:W3CDTF">2019-02-26T20:48:00Z</dcterms:modified>
</cp:coreProperties>
</file>